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7EDF126E"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13</w:t>
      </w:r>
      <w:r w:rsidR="004C1B6D">
        <w:rPr>
          <w:rFonts w:ascii="Arial" w:hAnsi="Arial" w:cs="Arial"/>
          <w:b/>
          <w:bCs/>
          <w:sz w:val="24"/>
          <w:szCs w:val="24"/>
        </w:rPr>
        <w:t>6</w:t>
      </w:r>
      <w:r w:rsidR="00DF7FB6" w:rsidRPr="00F76B76">
        <w:rPr>
          <w:rFonts w:ascii="Arial" w:hAnsi="Arial" w:cs="Arial"/>
          <w:b/>
          <w:bCs/>
          <w:sz w:val="24"/>
          <w:szCs w:val="24"/>
        </w:rPr>
        <w:tab/>
      </w:r>
      <w:r w:rsidR="00E24161" w:rsidRPr="00E24161">
        <w:rPr>
          <w:rFonts w:ascii="Arial" w:hAnsi="Arial" w:cs="Arial"/>
          <w:b/>
          <w:bCs/>
          <w:sz w:val="24"/>
          <w:szCs w:val="24"/>
        </w:rPr>
        <w:t xml:space="preserve">S2-1911219 </w:t>
      </w:r>
    </w:p>
    <w:p w14:paraId="45DD8217" w14:textId="5A07B4D9" w:rsidR="00DF7FB6" w:rsidRPr="00F76B76" w:rsidRDefault="004C1B6D" w:rsidP="005509C5">
      <w:pPr>
        <w:pBdr>
          <w:bottom w:val="single" w:sz="6" w:space="0" w:color="auto"/>
        </w:pBdr>
        <w:tabs>
          <w:tab w:val="right" w:pos="9638"/>
        </w:tabs>
        <w:rPr>
          <w:rFonts w:ascii="Arial" w:hAnsi="Arial" w:cs="Arial"/>
          <w:b/>
          <w:bCs/>
          <w:sz w:val="24"/>
          <w:szCs w:val="24"/>
        </w:rPr>
      </w:pPr>
      <w:r>
        <w:rPr>
          <w:rFonts w:ascii="Arial" w:hAnsi="Arial" w:cs="Arial"/>
          <w:b/>
          <w:bCs/>
          <w:sz w:val="24"/>
        </w:rPr>
        <w:t>November 18-22, Reno, Nevada USA</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w:t>
      </w:r>
      <w:proofErr w:type="gramStart"/>
      <w:r w:rsidR="00193CB5">
        <w:rPr>
          <w:rFonts w:ascii="Arial" w:hAnsi="Arial" w:cs="Arial"/>
          <w:b/>
          <w:bCs/>
          <w:color w:val="0000FF"/>
        </w:rPr>
        <w:t xml:space="preserve">of </w:t>
      </w:r>
      <w:r w:rsidR="00B24CE0" w:rsidRPr="00894F6B">
        <w:rPr>
          <w:rFonts w:ascii="Arial" w:hAnsi="Arial" w:cs="Arial"/>
          <w:b/>
          <w:bCs/>
        </w:rPr>
        <w:t>)</w:t>
      </w:r>
      <w:proofErr w:type="gramEnd"/>
    </w:p>
    <w:p w14:paraId="5DD47DA7" w14:textId="42A14BF6"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 Nokia Shanghai Bell</w:t>
      </w:r>
      <w:r w:rsidR="00125E29">
        <w:rPr>
          <w:rFonts w:ascii="Arial" w:hAnsi="Arial" w:cs="Arial"/>
          <w:b/>
        </w:rPr>
        <w:t>, Qualcomm</w:t>
      </w:r>
    </w:p>
    <w:p w14:paraId="3BE54C94" w14:textId="370B3820" w:rsidR="00AF4567" w:rsidRDefault="00440983">
      <w:pPr>
        <w:ind w:left="2127" w:hanging="2127"/>
        <w:rPr>
          <w:rFonts w:ascii="Arial" w:hAnsi="Arial" w:cs="Arial"/>
          <w:b/>
        </w:rPr>
      </w:pPr>
      <w:r>
        <w:rPr>
          <w:rFonts w:ascii="Arial" w:hAnsi="Arial" w:cs="Arial"/>
          <w:b/>
        </w:rPr>
        <w:t>Title:</w:t>
      </w:r>
      <w:r>
        <w:rPr>
          <w:rFonts w:ascii="Arial" w:hAnsi="Arial" w:cs="Arial"/>
          <w:b/>
        </w:rPr>
        <w:tab/>
      </w:r>
      <w:r w:rsidR="004C1B6D">
        <w:rPr>
          <w:rFonts w:ascii="Arial" w:hAnsi="Arial" w:cs="Arial"/>
          <w:b/>
        </w:rPr>
        <w:t>Way forward for Manufacturer assigned</w:t>
      </w:r>
      <w:r w:rsidR="00FB1830">
        <w:rPr>
          <w:rFonts w:ascii="Arial" w:hAnsi="Arial" w:cs="Arial"/>
          <w:b/>
        </w:rPr>
        <w:t xml:space="preserve"> </w:t>
      </w:r>
      <w:r w:rsidR="00DF4C28">
        <w:rPr>
          <w:rFonts w:ascii="Arial" w:hAnsi="Arial" w:cs="Arial"/>
          <w:b/>
        </w:rPr>
        <w:t xml:space="preserve">UE </w:t>
      </w:r>
      <w:r w:rsidR="004C1B6D">
        <w:rPr>
          <w:rFonts w:ascii="Arial" w:hAnsi="Arial" w:cs="Arial"/>
          <w:b/>
        </w:rPr>
        <w:t>Ra</w:t>
      </w:r>
      <w:r w:rsidR="00DF4C28">
        <w:rPr>
          <w:rFonts w:ascii="Arial" w:hAnsi="Arial" w:cs="Arial"/>
          <w:b/>
        </w:rPr>
        <w:t>dio Capability ID</w:t>
      </w:r>
      <w:r w:rsidR="00DE3FC1">
        <w:rPr>
          <w:rFonts w:ascii="Arial" w:hAnsi="Arial" w:cs="Arial"/>
          <w:b/>
        </w:rPr>
        <w:t xml:space="preserve"> handling</w:t>
      </w:r>
    </w:p>
    <w:p w14:paraId="66B7AC98"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3547A4">
        <w:rPr>
          <w:rFonts w:ascii="Arial" w:hAnsi="Arial" w:cs="Arial"/>
          <w:b/>
        </w:rPr>
        <w:t>Discussion and Agreement</w:t>
      </w:r>
    </w:p>
    <w:p w14:paraId="2F653376" w14:textId="4425E6EC"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93531A">
        <w:rPr>
          <w:rFonts w:ascii="Arial" w:hAnsi="Arial" w:cs="Arial"/>
          <w:b/>
        </w:rPr>
        <w:t>7.10.3</w:t>
      </w:r>
    </w:p>
    <w:p w14:paraId="58741374" w14:textId="694871A3" w:rsidR="00440983" w:rsidRPr="00541CD8" w:rsidRDefault="00440983">
      <w:pPr>
        <w:ind w:left="2127" w:hanging="2127"/>
        <w:rPr>
          <w:rFonts w:ascii="Arial" w:hAnsi="Arial" w:cs="Arial"/>
          <w:b/>
          <w:lang w:val="en-US"/>
        </w:rPr>
      </w:pPr>
      <w:r>
        <w:rPr>
          <w:rFonts w:ascii="Arial" w:hAnsi="Arial" w:cs="Arial"/>
          <w:b/>
        </w:rPr>
        <w:t>Work Item / Release:</w:t>
      </w:r>
      <w:r>
        <w:rPr>
          <w:rFonts w:ascii="Arial" w:hAnsi="Arial" w:cs="Arial"/>
          <w:b/>
        </w:rPr>
        <w:tab/>
      </w:r>
      <w:r w:rsidR="00DF4C28">
        <w:rPr>
          <w:rFonts w:ascii="Arial" w:hAnsi="Arial" w:cs="Arial"/>
          <w:b/>
          <w:lang w:eastAsia="ko-KR"/>
        </w:rPr>
        <w:t>RACS</w:t>
      </w:r>
      <w:r w:rsidR="0093531A">
        <w:rPr>
          <w:rFonts w:ascii="Arial" w:hAnsi="Arial" w:cs="Arial"/>
          <w:b/>
          <w:lang w:eastAsia="ko-KR"/>
        </w:rPr>
        <w:t>/ Rel-16</w:t>
      </w:r>
    </w:p>
    <w:p w14:paraId="781B1DF5" w14:textId="3A75C772"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DF4C28">
        <w:rPr>
          <w:rFonts w:ascii="Arial" w:hAnsi="Arial" w:cs="Arial"/>
          <w:i/>
        </w:rPr>
        <w:t xml:space="preserve">this paper </w:t>
      </w:r>
      <w:r w:rsidR="004C1B6D">
        <w:rPr>
          <w:rFonts w:ascii="Arial" w:hAnsi="Arial" w:cs="Arial"/>
          <w:i/>
        </w:rPr>
        <w:t xml:space="preserve">proposes </w:t>
      </w:r>
      <w:bookmarkStart w:id="0" w:name="_Hlk23759072"/>
      <w:r w:rsidR="00F56ECE">
        <w:rPr>
          <w:rFonts w:ascii="Arial" w:hAnsi="Arial" w:cs="Arial"/>
          <w:i/>
        </w:rPr>
        <w:t>the way to handle Manufacturer assigned UE radio Capability IDs</w:t>
      </w:r>
    </w:p>
    <w:bookmarkEnd w:id="0"/>
    <w:p w14:paraId="43593185" w14:textId="530CEF6E" w:rsidR="00387FDA" w:rsidRDefault="00F70227" w:rsidP="00AF4567">
      <w:pPr>
        <w:pStyle w:val="Heading1"/>
      </w:pPr>
      <w:r>
        <w:t>Discussion</w:t>
      </w:r>
    </w:p>
    <w:p w14:paraId="73CFADB2" w14:textId="5939FD6F" w:rsidR="004C1B6D" w:rsidRDefault="00F56ECE" w:rsidP="00AF4567">
      <w:r>
        <w:t xml:space="preserve">This paper assumes </w:t>
      </w:r>
      <w:r w:rsidR="006954E2">
        <w:t xml:space="preserve">that </w:t>
      </w:r>
      <w:r>
        <w:t xml:space="preserve">the </w:t>
      </w:r>
      <w:r w:rsidR="001E51F6">
        <w:t xml:space="preserve">UE </w:t>
      </w:r>
      <w:r>
        <w:t xml:space="preserve">Manufacturer Assigned UE Radio capability ID is unique per vendor ID and not per TAC+SVN, as </w:t>
      </w:r>
      <w:r w:rsidR="006954E2">
        <w:t>described in S2-19xxxx</w:t>
      </w:r>
      <w:r>
        <w:t>. This would resu</w:t>
      </w:r>
      <w:r w:rsidR="00FC7058">
        <w:t>l</w:t>
      </w:r>
      <w:r>
        <w:t>t in a format that at a high level is like in Figure 1, as discussed in paper S2-</w:t>
      </w:r>
      <w:r w:rsidR="00135381">
        <w:t>19</w:t>
      </w:r>
      <w:r w:rsidR="00135381">
        <w:t>1</w:t>
      </w:r>
      <w:bookmarkStart w:id="1" w:name="_GoBack"/>
      <w:bookmarkEnd w:id="1"/>
      <w:r w:rsidR="00135381">
        <w:t>1216</w:t>
      </w:r>
    </w:p>
    <w:p w14:paraId="29059A05" w14:textId="3627F2B1" w:rsidR="004C1B6D" w:rsidRDefault="00271724" w:rsidP="00271724">
      <w:pPr>
        <w:jc w:val="center"/>
      </w:pPr>
      <w:r>
        <w:object w:dxaOrig="6858" w:dyaOrig="1189" w14:anchorId="25BF47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5pt;height:59.25pt" o:ole="">
            <v:imagedata r:id="rId8" o:title=""/>
          </v:shape>
          <o:OLEObject Type="Embed" ProgID="Visio.Drawing.11" ShapeID="_x0000_i1025" DrawAspect="Content" ObjectID="_1634728354" r:id="rId9"/>
        </w:object>
      </w:r>
    </w:p>
    <w:p w14:paraId="1C95C1D9" w14:textId="21F72908" w:rsidR="004A182E" w:rsidRPr="004A182E" w:rsidRDefault="004A182E" w:rsidP="001E51F6">
      <w:pPr>
        <w:pStyle w:val="TF"/>
      </w:pPr>
      <w:r w:rsidRPr="004A182E">
        <w:t>Figure 1-</w:t>
      </w:r>
      <w:r w:rsidR="004C1B6D" w:rsidRPr="004C1B6D">
        <w:t>UE Manufacturer assigned UE Radio Capability ID</w:t>
      </w:r>
      <w:r w:rsidR="004C1B6D">
        <w:t xml:space="preserve"> f</w:t>
      </w:r>
      <w:r w:rsidRPr="004A182E">
        <w:t>ormat</w:t>
      </w:r>
    </w:p>
    <w:p w14:paraId="78B9C68D" w14:textId="086DECB9" w:rsidR="00DA520C" w:rsidRDefault="00F56ECE" w:rsidP="00DA520C">
      <w:r>
        <w:t xml:space="preserve">We assume that the granularity of transition to using a Manufacturer Assigned UE Radio capability ID is per UE model and this can be identified by one or more TAC values. </w:t>
      </w:r>
      <w:r w:rsidR="001E51F6">
        <w:t xml:space="preserve">So, the system needs to know both the UE Manufacturer Assigned UE Radio capability IDs for the UE models that use them and the TAC values that these models are associated to. As the </w:t>
      </w:r>
      <w:r w:rsidR="00FC7058">
        <w:t xml:space="preserve">UE </w:t>
      </w:r>
      <w:r w:rsidR="001E51F6">
        <w:t>model is in the market and more exemplars are produced, more TACs can be assigned. Also, if the UE radio capabilities evolve, then more ID may be also associated to the UE Models. This then results for a process that should look like in the figure here below in figure 2:</w:t>
      </w:r>
    </w:p>
    <w:p w14:paraId="6D00B1D4" w14:textId="4EB3010F" w:rsidR="001E51F6" w:rsidRDefault="001E51F6" w:rsidP="00DA520C"/>
    <w:p w14:paraId="443C7DC8" w14:textId="0FE68422" w:rsidR="001E51F6" w:rsidRDefault="001E51F6" w:rsidP="00DA520C"/>
    <w:p w14:paraId="37714AF9" w14:textId="3769E091" w:rsidR="00971F3F" w:rsidRDefault="00541CD8" w:rsidP="001E51F6">
      <w:pPr>
        <w:pStyle w:val="TF"/>
      </w:pPr>
      <w:r>
        <w:object w:dxaOrig="9012" w:dyaOrig="7141" w14:anchorId="105600D6">
          <v:shape id="_x0000_i1026" type="#_x0000_t75" style="width:450.75pt;height:357pt" o:ole="">
            <v:imagedata r:id="rId10" o:title=""/>
          </v:shape>
          <o:OLEObject Type="Embed" ProgID="Visio.Drawing.11" ShapeID="_x0000_i1026" DrawAspect="Content" ObjectID="_1634728355" r:id="rId11"/>
        </w:object>
      </w:r>
    </w:p>
    <w:p w14:paraId="1D0A1DEA" w14:textId="4B773677" w:rsidR="001E51F6" w:rsidRDefault="001E51F6" w:rsidP="001E51F6">
      <w:pPr>
        <w:pStyle w:val="TF"/>
      </w:pPr>
      <w:r w:rsidRPr="001E51F6">
        <w:t>Figure 2: the deployment and maintenance of Manufacturer Assigned UE Radio Capability IDs</w:t>
      </w:r>
    </w:p>
    <w:p w14:paraId="07AB7160" w14:textId="2D1550E0" w:rsidR="001E51F6" w:rsidRPr="001E51F6" w:rsidRDefault="001E51F6" w:rsidP="001E51F6"/>
    <w:p w14:paraId="309CE6C9" w14:textId="1C445CF1" w:rsidR="00F31924" w:rsidRDefault="00F31924" w:rsidP="00F31924">
      <w:pPr>
        <w:pStyle w:val="Heading1"/>
      </w:pPr>
      <w:r>
        <w:t>Propos</w:t>
      </w:r>
      <w:r w:rsidR="001A0078">
        <w:t>al</w:t>
      </w:r>
    </w:p>
    <w:p w14:paraId="1F14D9CC" w14:textId="75B423EB" w:rsidR="001A0078" w:rsidRDefault="00DA520C" w:rsidP="001A0078">
      <w:r>
        <w:t xml:space="preserve">It is proposed that </w:t>
      </w:r>
      <w:r w:rsidR="001E51F6">
        <w:t>the above approach is used for the handling of UE Manufacturer Assigned UE Radio capability IDs</w:t>
      </w:r>
      <w:r w:rsidR="00C16AFD">
        <w:t xml:space="preserve"> and how to revert from PLMN assigned UE Radio Capability IDs of the same UE.</w:t>
      </w:r>
    </w:p>
    <w:sectPr w:rsidR="001A0078">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76CBC" w14:textId="77777777" w:rsidR="00DB29A8" w:rsidRDefault="00DB29A8">
      <w:r>
        <w:separator/>
      </w:r>
    </w:p>
    <w:p w14:paraId="6C030CA2" w14:textId="77777777" w:rsidR="00DB29A8" w:rsidRDefault="00DB29A8"/>
  </w:endnote>
  <w:endnote w:type="continuationSeparator" w:id="0">
    <w:p w14:paraId="02F11281" w14:textId="77777777" w:rsidR="00DB29A8" w:rsidRDefault="00DB29A8">
      <w:r>
        <w:continuationSeparator/>
      </w:r>
    </w:p>
    <w:p w14:paraId="755F85AC" w14:textId="77777777" w:rsidR="00DB29A8" w:rsidRDefault="00DB29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DB29A8" w:rsidRDefault="00DB29A8">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DB29A8" w:rsidRDefault="00DB29A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DB29A8" w:rsidRDefault="00DB29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F2C57" w14:textId="77777777" w:rsidR="00DB29A8" w:rsidRDefault="00DB29A8">
      <w:r>
        <w:separator/>
      </w:r>
    </w:p>
    <w:p w14:paraId="4794D3FB" w14:textId="77777777" w:rsidR="00DB29A8" w:rsidRDefault="00DB29A8"/>
  </w:footnote>
  <w:footnote w:type="continuationSeparator" w:id="0">
    <w:p w14:paraId="7AA7DE1B" w14:textId="77777777" w:rsidR="00DB29A8" w:rsidRDefault="00DB29A8">
      <w:r>
        <w:continuationSeparator/>
      </w:r>
    </w:p>
    <w:p w14:paraId="1500B9CE" w14:textId="77777777" w:rsidR="00DB29A8" w:rsidRDefault="00DB29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DB29A8" w:rsidRDefault="00DB29A8"/>
  <w:p w14:paraId="53259567" w14:textId="77777777" w:rsidR="00DB29A8" w:rsidRDefault="00DB29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DB29A8" w:rsidRPr="00D04754" w:rsidRDefault="00DB29A8">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77777777" w:rsidR="00DB29A8" w:rsidRPr="00D04754" w:rsidRDefault="00DB29A8">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DB29A8" w:rsidRPr="00D04754" w:rsidRDefault="00DB29A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1"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6" w15:restartNumberingAfterBreak="0">
    <w:nsid w:val="4EFF5DE7"/>
    <w:multiLevelType w:val="hybridMultilevel"/>
    <w:tmpl w:val="6E7AB7B6"/>
    <w:lvl w:ilvl="0" w:tplc="49C22E1E">
      <w:start w:val="1"/>
      <w:numFmt w:val="bullet"/>
      <w:lvlText w:val="•"/>
      <w:lvlJc w:val="left"/>
      <w:pPr>
        <w:tabs>
          <w:tab w:val="num" w:pos="720"/>
        </w:tabs>
        <w:ind w:left="720" w:hanging="360"/>
      </w:pPr>
      <w:rPr>
        <w:rFonts w:ascii="Arial" w:hAnsi="Arial" w:hint="default"/>
      </w:rPr>
    </w:lvl>
    <w:lvl w:ilvl="1" w:tplc="8BA6E270">
      <w:start w:val="100"/>
      <w:numFmt w:val="bullet"/>
      <w:lvlText w:val="•"/>
      <w:lvlJc w:val="left"/>
      <w:pPr>
        <w:tabs>
          <w:tab w:val="num" w:pos="1440"/>
        </w:tabs>
        <w:ind w:left="1440" w:hanging="360"/>
      </w:pPr>
      <w:rPr>
        <w:rFonts w:ascii="Arial" w:hAnsi="Arial" w:hint="default"/>
      </w:rPr>
    </w:lvl>
    <w:lvl w:ilvl="2" w:tplc="A472384E">
      <w:start w:val="1"/>
      <w:numFmt w:val="bullet"/>
      <w:lvlText w:val="•"/>
      <w:lvlJc w:val="left"/>
      <w:pPr>
        <w:tabs>
          <w:tab w:val="num" w:pos="2160"/>
        </w:tabs>
        <w:ind w:left="2160" w:hanging="360"/>
      </w:pPr>
      <w:rPr>
        <w:rFonts w:ascii="Arial" w:hAnsi="Arial" w:hint="default"/>
      </w:rPr>
    </w:lvl>
    <w:lvl w:ilvl="3" w:tplc="59323550" w:tentative="1">
      <w:start w:val="1"/>
      <w:numFmt w:val="bullet"/>
      <w:lvlText w:val="•"/>
      <w:lvlJc w:val="left"/>
      <w:pPr>
        <w:tabs>
          <w:tab w:val="num" w:pos="2880"/>
        </w:tabs>
        <w:ind w:left="2880" w:hanging="360"/>
      </w:pPr>
      <w:rPr>
        <w:rFonts w:ascii="Arial" w:hAnsi="Arial" w:hint="default"/>
      </w:rPr>
    </w:lvl>
    <w:lvl w:ilvl="4" w:tplc="8480BEEA" w:tentative="1">
      <w:start w:val="1"/>
      <w:numFmt w:val="bullet"/>
      <w:lvlText w:val="•"/>
      <w:lvlJc w:val="left"/>
      <w:pPr>
        <w:tabs>
          <w:tab w:val="num" w:pos="3600"/>
        </w:tabs>
        <w:ind w:left="3600" w:hanging="360"/>
      </w:pPr>
      <w:rPr>
        <w:rFonts w:ascii="Arial" w:hAnsi="Arial" w:hint="default"/>
      </w:rPr>
    </w:lvl>
    <w:lvl w:ilvl="5" w:tplc="A3CC4E14" w:tentative="1">
      <w:start w:val="1"/>
      <w:numFmt w:val="bullet"/>
      <w:lvlText w:val="•"/>
      <w:lvlJc w:val="left"/>
      <w:pPr>
        <w:tabs>
          <w:tab w:val="num" w:pos="4320"/>
        </w:tabs>
        <w:ind w:left="4320" w:hanging="360"/>
      </w:pPr>
      <w:rPr>
        <w:rFonts w:ascii="Arial" w:hAnsi="Arial" w:hint="default"/>
      </w:rPr>
    </w:lvl>
    <w:lvl w:ilvl="6" w:tplc="CA3E3150" w:tentative="1">
      <w:start w:val="1"/>
      <w:numFmt w:val="bullet"/>
      <w:lvlText w:val="•"/>
      <w:lvlJc w:val="left"/>
      <w:pPr>
        <w:tabs>
          <w:tab w:val="num" w:pos="5040"/>
        </w:tabs>
        <w:ind w:left="5040" w:hanging="360"/>
      </w:pPr>
      <w:rPr>
        <w:rFonts w:ascii="Arial" w:hAnsi="Arial" w:hint="default"/>
      </w:rPr>
    </w:lvl>
    <w:lvl w:ilvl="7" w:tplc="1F6CB682" w:tentative="1">
      <w:start w:val="1"/>
      <w:numFmt w:val="bullet"/>
      <w:lvlText w:val="•"/>
      <w:lvlJc w:val="left"/>
      <w:pPr>
        <w:tabs>
          <w:tab w:val="num" w:pos="5760"/>
        </w:tabs>
        <w:ind w:left="5760" w:hanging="360"/>
      </w:pPr>
      <w:rPr>
        <w:rFonts w:ascii="Arial" w:hAnsi="Arial" w:hint="default"/>
      </w:rPr>
    </w:lvl>
    <w:lvl w:ilvl="8" w:tplc="52A4DCD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4"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29"/>
  </w:num>
  <w:num w:numId="4">
    <w:abstractNumId w:val="19"/>
  </w:num>
  <w:num w:numId="5">
    <w:abstractNumId w:val="31"/>
  </w:num>
  <w:num w:numId="6">
    <w:abstractNumId w:val="11"/>
  </w:num>
  <w:num w:numId="7">
    <w:abstractNumId w:val="30"/>
  </w:num>
  <w:num w:numId="8">
    <w:abstractNumId w:val="24"/>
  </w:num>
  <w:num w:numId="9">
    <w:abstractNumId w:val="34"/>
  </w:num>
  <w:num w:numId="10">
    <w:abstractNumId w:val="14"/>
  </w:num>
  <w:num w:numId="11">
    <w:abstractNumId w:val="32"/>
  </w:num>
  <w:num w:numId="12">
    <w:abstractNumId w:val="16"/>
  </w:num>
  <w:num w:numId="13">
    <w:abstractNumId w:val="15"/>
  </w:num>
  <w:num w:numId="14">
    <w:abstractNumId w:val="10"/>
  </w:num>
  <w:num w:numId="15">
    <w:abstractNumId w:val="20"/>
  </w:num>
  <w:num w:numId="16">
    <w:abstractNumId w:val="25"/>
  </w:num>
  <w:num w:numId="17">
    <w:abstractNumId w:val="33"/>
  </w:num>
  <w:num w:numId="18">
    <w:abstractNumId w:val="27"/>
  </w:num>
  <w:num w:numId="19">
    <w:abstractNumId w:val="17"/>
  </w:num>
  <w:num w:numId="20">
    <w:abstractNumId w:val="22"/>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8"/>
  </w:num>
  <w:num w:numId="33">
    <w:abstractNumId w:val="21"/>
  </w:num>
  <w:num w:numId="34">
    <w:abstractNumId w:val="18"/>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E2A"/>
    <w:rsid w:val="00017181"/>
    <w:rsid w:val="000222BA"/>
    <w:rsid w:val="00022D34"/>
    <w:rsid w:val="00025BD2"/>
    <w:rsid w:val="00031E71"/>
    <w:rsid w:val="00032B19"/>
    <w:rsid w:val="00033A00"/>
    <w:rsid w:val="000344DB"/>
    <w:rsid w:val="00034D55"/>
    <w:rsid w:val="000356D9"/>
    <w:rsid w:val="00037D1B"/>
    <w:rsid w:val="00041F82"/>
    <w:rsid w:val="00042937"/>
    <w:rsid w:val="00042BF8"/>
    <w:rsid w:val="000433DD"/>
    <w:rsid w:val="00043459"/>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1F23"/>
    <w:rsid w:val="00122874"/>
    <w:rsid w:val="001230D3"/>
    <w:rsid w:val="001246C8"/>
    <w:rsid w:val="00125A05"/>
    <w:rsid w:val="00125E29"/>
    <w:rsid w:val="00131774"/>
    <w:rsid w:val="00131DDE"/>
    <w:rsid w:val="00135381"/>
    <w:rsid w:val="001357A6"/>
    <w:rsid w:val="00135A80"/>
    <w:rsid w:val="0014063D"/>
    <w:rsid w:val="00142DC9"/>
    <w:rsid w:val="00143127"/>
    <w:rsid w:val="00144F46"/>
    <w:rsid w:val="00145C98"/>
    <w:rsid w:val="00146143"/>
    <w:rsid w:val="001463D9"/>
    <w:rsid w:val="0015069F"/>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7FF"/>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1F6"/>
    <w:rsid w:val="001E5B3C"/>
    <w:rsid w:val="001E60AC"/>
    <w:rsid w:val="001E61CC"/>
    <w:rsid w:val="001F32FE"/>
    <w:rsid w:val="001F3993"/>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1BFC"/>
    <w:rsid w:val="00262262"/>
    <w:rsid w:val="00263016"/>
    <w:rsid w:val="00263A44"/>
    <w:rsid w:val="00264146"/>
    <w:rsid w:val="00264B09"/>
    <w:rsid w:val="0026552D"/>
    <w:rsid w:val="0026747D"/>
    <w:rsid w:val="00267AE2"/>
    <w:rsid w:val="0027123F"/>
    <w:rsid w:val="00271724"/>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0B33"/>
    <w:rsid w:val="002A6967"/>
    <w:rsid w:val="002A70DC"/>
    <w:rsid w:val="002A714C"/>
    <w:rsid w:val="002B29C6"/>
    <w:rsid w:val="002B3E1B"/>
    <w:rsid w:val="002B5735"/>
    <w:rsid w:val="002B6540"/>
    <w:rsid w:val="002B6864"/>
    <w:rsid w:val="002C0540"/>
    <w:rsid w:val="002C10FD"/>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EAE"/>
    <w:rsid w:val="003461CF"/>
    <w:rsid w:val="003464A4"/>
    <w:rsid w:val="003464CC"/>
    <w:rsid w:val="00346841"/>
    <w:rsid w:val="00350775"/>
    <w:rsid w:val="00350BC7"/>
    <w:rsid w:val="003516D9"/>
    <w:rsid w:val="003522A9"/>
    <w:rsid w:val="00353AB2"/>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2326"/>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182E"/>
    <w:rsid w:val="004A3CB3"/>
    <w:rsid w:val="004A6FF1"/>
    <w:rsid w:val="004B00C3"/>
    <w:rsid w:val="004B28AE"/>
    <w:rsid w:val="004B3B33"/>
    <w:rsid w:val="004B64D5"/>
    <w:rsid w:val="004B71E4"/>
    <w:rsid w:val="004B7F90"/>
    <w:rsid w:val="004C0A31"/>
    <w:rsid w:val="004C1B6D"/>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F12"/>
    <w:rsid w:val="0052585A"/>
    <w:rsid w:val="005264A5"/>
    <w:rsid w:val="00527875"/>
    <w:rsid w:val="00527B7E"/>
    <w:rsid w:val="00527E43"/>
    <w:rsid w:val="005326B5"/>
    <w:rsid w:val="00533276"/>
    <w:rsid w:val="005336F2"/>
    <w:rsid w:val="00535910"/>
    <w:rsid w:val="00536D57"/>
    <w:rsid w:val="00537353"/>
    <w:rsid w:val="0053794D"/>
    <w:rsid w:val="00540A1B"/>
    <w:rsid w:val="00540FDC"/>
    <w:rsid w:val="00541CD8"/>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96A94"/>
    <w:rsid w:val="005A0697"/>
    <w:rsid w:val="005A0B27"/>
    <w:rsid w:val="005A12D9"/>
    <w:rsid w:val="005A1C82"/>
    <w:rsid w:val="005A2EB4"/>
    <w:rsid w:val="005A3F95"/>
    <w:rsid w:val="005B0422"/>
    <w:rsid w:val="005B1820"/>
    <w:rsid w:val="005B2ABD"/>
    <w:rsid w:val="005B7F73"/>
    <w:rsid w:val="005C178F"/>
    <w:rsid w:val="005C1830"/>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4E2"/>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41B3"/>
    <w:rsid w:val="00724B81"/>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AB"/>
    <w:rsid w:val="00742365"/>
    <w:rsid w:val="00745DC2"/>
    <w:rsid w:val="007468C6"/>
    <w:rsid w:val="00750402"/>
    <w:rsid w:val="00753DE8"/>
    <w:rsid w:val="007559D9"/>
    <w:rsid w:val="007560DC"/>
    <w:rsid w:val="00757456"/>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93A"/>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679C3"/>
    <w:rsid w:val="008716D1"/>
    <w:rsid w:val="00873937"/>
    <w:rsid w:val="00874259"/>
    <w:rsid w:val="0087491A"/>
    <w:rsid w:val="008750A0"/>
    <w:rsid w:val="00875774"/>
    <w:rsid w:val="008764C5"/>
    <w:rsid w:val="00877278"/>
    <w:rsid w:val="00877615"/>
    <w:rsid w:val="008810CE"/>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E91"/>
    <w:rsid w:val="008F0BF0"/>
    <w:rsid w:val="008F1290"/>
    <w:rsid w:val="008F1A9D"/>
    <w:rsid w:val="008F2C86"/>
    <w:rsid w:val="008F5384"/>
    <w:rsid w:val="008F5771"/>
    <w:rsid w:val="008F7FB4"/>
    <w:rsid w:val="009001AE"/>
    <w:rsid w:val="00900E60"/>
    <w:rsid w:val="009014DD"/>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31A"/>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1F3F"/>
    <w:rsid w:val="009722A5"/>
    <w:rsid w:val="00975BCD"/>
    <w:rsid w:val="009762C9"/>
    <w:rsid w:val="0097633C"/>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E15"/>
    <w:rsid w:val="009D15E8"/>
    <w:rsid w:val="009D1A1D"/>
    <w:rsid w:val="009D3591"/>
    <w:rsid w:val="009D37D1"/>
    <w:rsid w:val="009D3C17"/>
    <w:rsid w:val="009D3D15"/>
    <w:rsid w:val="009D51A0"/>
    <w:rsid w:val="009D6466"/>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4FBA"/>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295F"/>
    <w:rsid w:val="00AA2FA3"/>
    <w:rsid w:val="00AA6B45"/>
    <w:rsid w:val="00AA6EF7"/>
    <w:rsid w:val="00AA727D"/>
    <w:rsid w:val="00AB07EE"/>
    <w:rsid w:val="00AB1A04"/>
    <w:rsid w:val="00AB2AD9"/>
    <w:rsid w:val="00AB524F"/>
    <w:rsid w:val="00AB5775"/>
    <w:rsid w:val="00AB69E4"/>
    <w:rsid w:val="00AB7F1F"/>
    <w:rsid w:val="00AC1BB3"/>
    <w:rsid w:val="00AC1C8F"/>
    <w:rsid w:val="00AC31E6"/>
    <w:rsid w:val="00AC3DA1"/>
    <w:rsid w:val="00AC41ED"/>
    <w:rsid w:val="00AD0213"/>
    <w:rsid w:val="00AD1572"/>
    <w:rsid w:val="00AD242C"/>
    <w:rsid w:val="00AD2ADA"/>
    <w:rsid w:val="00AD5265"/>
    <w:rsid w:val="00AD5F8A"/>
    <w:rsid w:val="00AD6F09"/>
    <w:rsid w:val="00AE4312"/>
    <w:rsid w:val="00AE4A51"/>
    <w:rsid w:val="00AE6EC6"/>
    <w:rsid w:val="00AE7E84"/>
    <w:rsid w:val="00AF0B4E"/>
    <w:rsid w:val="00AF0F77"/>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542"/>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AFD"/>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520C"/>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3FC1"/>
    <w:rsid w:val="00DE44A1"/>
    <w:rsid w:val="00DE7FF2"/>
    <w:rsid w:val="00DF0A88"/>
    <w:rsid w:val="00DF0BF9"/>
    <w:rsid w:val="00DF0EE6"/>
    <w:rsid w:val="00DF0F52"/>
    <w:rsid w:val="00DF228C"/>
    <w:rsid w:val="00DF4C28"/>
    <w:rsid w:val="00DF540E"/>
    <w:rsid w:val="00DF5811"/>
    <w:rsid w:val="00DF6CC0"/>
    <w:rsid w:val="00DF783D"/>
    <w:rsid w:val="00DF7FB6"/>
    <w:rsid w:val="00E00B39"/>
    <w:rsid w:val="00E02E90"/>
    <w:rsid w:val="00E03EE9"/>
    <w:rsid w:val="00E067F3"/>
    <w:rsid w:val="00E071C8"/>
    <w:rsid w:val="00E109B4"/>
    <w:rsid w:val="00E11C2A"/>
    <w:rsid w:val="00E17206"/>
    <w:rsid w:val="00E17574"/>
    <w:rsid w:val="00E21474"/>
    <w:rsid w:val="00E22EC3"/>
    <w:rsid w:val="00E24161"/>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60102"/>
    <w:rsid w:val="00E6024A"/>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434"/>
    <w:rsid w:val="00EB2A46"/>
    <w:rsid w:val="00EB3209"/>
    <w:rsid w:val="00EB35FB"/>
    <w:rsid w:val="00EC09E1"/>
    <w:rsid w:val="00EC0F93"/>
    <w:rsid w:val="00EC13D8"/>
    <w:rsid w:val="00EC14A9"/>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96D"/>
    <w:rsid w:val="00EE5C14"/>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6ECE"/>
    <w:rsid w:val="00F57028"/>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0DE9"/>
    <w:rsid w:val="00FB1830"/>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C7058"/>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character" w:styleId="UnresolvedMention">
    <w:name w:val="Unresolved Mention"/>
    <w:basedOn w:val="DefaultParagraphFont"/>
    <w:uiPriority w:val="99"/>
    <w:semiHidden/>
    <w:unhideWhenUsed/>
    <w:rsid w:val="00DF4C28"/>
    <w:rPr>
      <w:color w:val="605E5C"/>
      <w:shd w:val="clear" w:color="auto" w:fill="E1DFDD"/>
    </w:rPr>
  </w:style>
  <w:style w:type="character" w:styleId="FollowedHyperlink">
    <w:name w:val="FollowedHyperlink"/>
    <w:basedOn w:val="DefaultParagraphFont"/>
    <w:semiHidden/>
    <w:unhideWhenUsed/>
    <w:rsid w:val="00DF4C28"/>
    <w:rPr>
      <w:color w:val="954F72" w:themeColor="followedHyperlink"/>
      <w:u w:val="single"/>
    </w:rPr>
  </w:style>
  <w:style w:type="paragraph" w:styleId="ListParagraph">
    <w:name w:val="List Paragraph"/>
    <w:basedOn w:val="Normal"/>
    <w:uiPriority w:val="34"/>
    <w:qFormat/>
    <w:rsid w:val="008679C3"/>
    <w:pPr>
      <w:overflowPunct/>
      <w:autoSpaceDE/>
      <w:autoSpaceDN/>
      <w:adjustRightInd/>
      <w:spacing w:after="0"/>
      <w:ind w:left="720"/>
      <w:contextualSpacing/>
      <w:textAlignment w:val="auto"/>
    </w:pPr>
    <w:rPr>
      <w:rFonts w:eastAsia="Times New Roman"/>
      <w:color w:val="auto"/>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 w:id="2094082203">
      <w:bodyDiv w:val="1"/>
      <w:marLeft w:val="0"/>
      <w:marRight w:val="0"/>
      <w:marTop w:val="0"/>
      <w:marBottom w:val="0"/>
      <w:divBdr>
        <w:top w:val="none" w:sz="0" w:space="0" w:color="auto"/>
        <w:left w:val="none" w:sz="0" w:space="0" w:color="auto"/>
        <w:bottom w:val="none" w:sz="0" w:space="0" w:color="auto"/>
        <w:right w:val="none" w:sz="0" w:space="0" w:color="auto"/>
      </w:divBdr>
      <w:divsChild>
        <w:div w:id="1871262882">
          <w:marLeft w:val="360"/>
          <w:marRight w:val="0"/>
          <w:marTop w:val="200"/>
          <w:marBottom w:val="0"/>
          <w:divBdr>
            <w:top w:val="none" w:sz="0" w:space="0" w:color="auto"/>
            <w:left w:val="none" w:sz="0" w:space="0" w:color="auto"/>
            <w:bottom w:val="none" w:sz="0" w:space="0" w:color="auto"/>
            <w:right w:val="none" w:sz="0" w:space="0" w:color="auto"/>
          </w:divBdr>
        </w:div>
        <w:div w:id="245001629">
          <w:marLeft w:val="1080"/>
          <w:marRight w:val="0"/>
          <w:marTop w:val="100"/>
          <w:marBottom w:val="0"/>
          <w:divBdr>
            <w:top w:val="none" w:sz="0" w:space="0" w:color="auto"/>
            <w:left w:val="none" w:sz="0" w:space="0" w:color="auto"/>
            <w:bottom w:val="none" w:sz="0" w:space="0" w:color="auto"/>
            <w:right w:val="none" w:sz="0" w:space="0" w:color="auto"/>
          </w:divBdr>
        </w:div>
        <w:div w:id="1325664045">
          <w:marLeft w:val="1080"/>
          <w:marRight w:val="0"/>
          <w:marTop w:val="100"/>
          <w:marBottom w:val="0"/>
          <w:divBdr>
            <w:top w:val="none" w:sz="0" w:space="0" w:color="auto"/>
            <w:left w:val="none" w:sz="0" w:space="0" w:color="auto"/>
            <w:bottom w:val="none" w:sz="0" w:space="0" w:color="auto"/>
            <w:right w:val="none" w:sz="0" w:space="0" w:color="auto"/>
          </w:divBdr>
        </w:div>
        <w:div w:id="1332485776">
          <w:marLeft w:val="1080"/>
          <w:marRight w:val="0"/>
          <w:marTop w:val="100"/>
          <w:marBottom w:val="0"/>
          <w:divBdr>
            <w:top w:val="none" w:sz="0" w:space="0" w:color="auto"/>
            <w:left w:val="none" w:sz="0" w:space="0" w:color="auto"/>
            <w:bottom w:val="none" w:sz="0" w:space="0" w:color="auto"/>
            <w:right w:val="none" w:sz="0" w:space="0" w:color="auto"/>
          </w:divBdr>
        </w:div>
        <w:div w:id="998928372">
          <w:marLeft w:val="1080"/>
          <w:marRight w:val="0"/>
          <w:marTop w:val="100"/>
          <w:marBottom w:val="0"/>
          <w:divBdr>
            <w:top w:val="none" w:sz="0" w:space="0" w:color="auto"/>
            <w:left w:val="none" w:sz="0" w:space="0" w:color="auto"/>
            <w:bottom w:val="none" w:sz="0" w:space="0" w:color="auto"/>
            <w:right w:val="none" w:sz="0" w:space="0" w:color="auto"/>
          </w:divBdr>
        </w:div>
        <w:div w:id="844785714">
          <w:marLeft w:val="360"/>
          <w:marRight w:val="0"/>
          <w:marTop w:val="200"/>
          <w:marBottom w:val="0"/>
          <w:divBdr>
            <w:top w:val="none" w:sz="0" w:space="0" w:color="auto"/>
            <w:left w:val="none" w:sz="0" w:space="0" w:color="auto"/>
            <w:bottom w:val="none" w:sz="0" w:space="0" w:color="auto"/>
            <w:right w:val="none" w:sz="0" w:space="0" w:color="auto"/>
          </w:divBdr>
        </w:div>
        <w:div w:id="887180878">
          <w:marLeft w:val="1080"/>
          <w:marRight w:val="0"/>
          <w:marTop w:val="100"/>
          <w:marBottom w:val="0"/>
          <w:divBdr>
            <w:top w:val="none" w:sz="0" w:space="0" w:color="auto"/>
            <w:left w:val="none" w:sz="0" w:space="0" w:color="auto"/>
            <w:bottom w:val="none" w:sz="0" w:space="0" w:color="auto"/>
            <w:right w:val="none" w:sz="0" w:space="0" w:color="auto"/>
          </w:divBdr>
        </w:div>
        <w:div w:id="1713115628">
          <w:marLeft w:val="1080"/>
          <w:marRight w:val="0"/>
          <w:marTop w:val="100"/>
          <w:marBottom w:val="0"/>
          <w:divBdr>
            <w:top w:val="none" w:sz="0" w:space="0" w:color="auto"/>
            <w:left w:val="none" w:sz="0" w:space="0" w:color="auto"/>
            <w:bottom w:val="none" w:sz="0" w:space="0" w:color="auto"/>
            <w:right w:val="none" w:sz="0" w:space="0" w:color="auto"/>
          </w:divBdr>
        </w:div>
        <w:div w:id="756176977">
          <w:marLeft w:val="1080"/>
          <w:marRight w:val="0"/>
          <w:marTop w:val="100"/>
          <w:marBottom w:val="0"/>
          <w:divBdr>
            <w:top w:val="none" w:sz="0" w:space="0" w:color="auto"/>
            <w:left w:val="none" w:sz="0" w:space="0" w:color="auto"/>
            <w:bottom w:val="none" w:sz="0" w:space="0" w:color="auto"/>
            <w:right w:val="none" w:sz="0" w:space="0" w:color="auto"/>
          </w:divBdr>
        </w:div>
        <w:div w:id="722677465">
          <w:marLeft w:val="1080"/>
          <w:marRight w:val="0"/>
          <w:marTop w:val="100"/>
          <w:marBottom w:val="0"/>
          <w:divBdr>
            <w:top w:val="none" w:sz="0" w:space="0" w:color="auto"/>
            <w:left w:val="none" w:sz="0" w:space="0" w:color="auto"/>
            <w:bottom w:val="none" w:sz="0" w:space="0" w:color="auto"/>
            <w:right w:val="none" w:sz="0" w:space="0" w:color="auto"/>
          </w:divBdr>
        </w:div>
        <w:div w:id="31688106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CDEC8-8B89-426F-A019-B54CB397F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354</TotalTime>
  <Pages>2</Pages>
  <Words>256</Words>
  <Characters>1462</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AC</cp:lastModifiedBy>
  <cp:revision>30</cp:revision>
  <cp:lastPrinted>2017-01-31T19:04:00Z</cp:lastPrinted>
  <dcterms:created xsi:type="dcterms:W3CDTF">2019-05-02T11:35:00Z</dcterms:created>
  <dcterms:modified xsi:type="dcterms:W3CDTF">2019-11-08T14:26:00Z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